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75" w:rsidRPr="00654F53" w:rsidRDefault="00DD1CDD" w:rsidP="00B63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i</w:t>
      </w:r>
      <w:bookmarkStart w:id="0" w:name="_GoBack"/>
      <w:bookmarkEnd w:id="0"/>
      <w:r w:rsidR="00654F53" w:rsidRPr="00654F53">
        <w:rPr>
          <w:rFonts w:ascii="Times New Roman" w:hAnsi="Times New Roman" w:cs="Times New Roman"/>
          <w:b/>
          <w:sz w:val="28"/>
          <w:szCs w:val="28"/>
        </w:rPr>
        <w:t xml:space="preserve">skolai közösségi szolgálat </w:t>
      </w:r>
      <w:r>
        <w:rPr>
          <w:rFonts w:ascii="Times New Roman" w:hAnsi="Times New Roman" w:cs="Times New Roman"/>
          <w:b/>
          <w:sz w:val="28"/>
          <w:szCs w:val="28"/>
        </w:rPr>
        <w:t xml:space="preserve">teljesítésének </w:t>
      </w:r>
      <w:r w:rsidR="00654F53" w:rsidRPr="00654F53">
        <w:rPr>
          <w:rFonts w:ascii="Times New Roman" w:hAnsi="Times New Roman" w:cs="Times New Roman"/>
          <w:b/>
          <w:sz w:val="28"/>
          <w:szCs w:val="28"/>
        </w:rPr>
        <w:t>összesítése</w:t>
      </w:r>
    </w:p>
    <w:p w:rsidR="00654F53" w:rsidRPr="00654F53" w:rsidRDefault="00DD1CDD" w:rsidP="00B63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54F53" w:rsidRPr="00654F53">
        <w:rPr>
          <w:rFonts w:ascii="Times New Roman" w:hAnsi="Times New Roman" w:cs="Times New Roman"/>
          <w:b/>
          <w:sz w:val="28"/>
          <w:szCs w:val="28"/>
        </w:rPr>
        <w:t>19-2020-as tanév 1. féléve</w:t>
      </w:r>
    </w:p>
    <w:tbl>
      <w:tblPr>
        <w:tblW w:w="8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513"/>
        <w:gridCol w:w="1300"/>
        <w:gridCol w:w="1160"/>
        <w:gridCol w:w="1360"/>
        <w:gridCol w:w="1180"/>
        <w:gridCol w:w="960"/>
      </w:tblGrid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E2E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E2E" w:rsidRPr="00B539A1" w:rsidRDefault="00B63E2E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E2E" w:rsidRPr="00B539A1" w:rsidRDefault="00B63E2E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E2E" w:rsidRPr="00B539A1" w:rsidRDefault="00B63E2E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E2E" w:rsidRPr="00B539A1" w:rsidRDefault="00B63E2E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E2E" w:rsidRPr="00B539A1" w:rsidRDefault="00B63E2E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E2E" w:rsidRPr="00B539A1" w:rsidRDefault="00B63E2E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E2E" w:rsidRPr="00B539A1" w:rsidRDefault="00B63E2E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Esélyegyenlő-</w:t>
            </w:r>
            <w:proofErr w:type="spellStart"/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ségért</w:t>
            </w:r>
            <w:proofErr w:type="spellEnd"/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közösségi szolgálat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Iskoláért (tanuló-társaimért) közösségi szolgálat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Kulturális közösségi szolgálat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Sport és </w:t>
            </w: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katasztrófa-védelem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Egyéb: egyéni segítség-nyújtás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</w:t>
            </w:r>
            <w:proofErr w:type="spellEnd"/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óra</w:t>
            </w:r>
          </w:p>
        </w:tc>
      </w:tr>
      <w:tr w:rsidR="00654F53" w:rsidRPr="00B539A1" w:rsidTr="003D2A20">
        <w:trPr>
          <w:trHeight w:val="315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54F53" w:rsidRPr="00B539A1" w:rsidTr="003D2A20">
        <w:trPr>
          <w:trHeight w:val="315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54F53" w:rsidRPr="00B539A1" w:rsidTr="003D2A20">
        <w:trPr>
          <w:trHeight w:val="31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9.</w:t>
            </w:r>
            <w:proofErr w:type="gramStart"/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332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9.B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527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9.C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211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9.E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497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10.</w:t>
            </w:r>
            <w:proofErr w:type="gramStart"/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485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10.B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315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560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10.C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487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10.E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234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11.</w:t>
            </w:r>
            <w:proofErr w:type="gramStart"/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391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11.B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36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11.C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147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11.E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244</w:t>
            </w:r>
          </w:p>
        </w:tc>
      </w:tr>
      <w:tr w:rsidR="00654F53" w:rsidRPr="00B539A1" w:rsidTr="003D2A20">
        <w:trPr>
          <w:trHeight w:val="6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össz</w:t>
            </w:r>
            <w:proofErr w:type="spellEnd"/>
            <w:r w:rsidRPr="00B539A1">
              <w:rPr>
                <w:rFonts w:ascii="Calibri" w:eastAsia="Times New Roman" w:hAnsi="Calibri" w:cs="Times New Roman"/>
                <w:color w:val="000000"/>
                <w:lang w:eastAsia="hu-HU"/>
              </w:rPr>
              <w:t>./terület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  <w:t>629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  <w:t>1413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  <w:t>1128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  <w:t>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b/>
                <w:bCs/>
                <w:color w:val="5B9BD5"/>
                <w:lang w:eastAsia="hu-HU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hu-HU"/>
              </w:rPr>
            </w:pPr>
            <w:r w:rsidRPr="00B539A1">
              <w:rPr>
                <w:rFonts w:ascii="Calibri" w:eastAsia="Times New Roman" w:hAnsi="Calibri" w:cs="Times New Roman"/>
                <w:b/>
                <w:bCs/>
                <w:color w:val="FF0000"/>
                <w:lang w:eastAsia="hu-HU"/>
              </w:rPr>
              <w:t>4151</w:t>
            </w:r>
          </w:p>
        </w:tc>
      </w:tr>
      <w:tr w:rsidR="00654F53" w:rsidRPr="00B539A1" w:rsidTr="003D2A20">
        <w:trPr>
          <w:trHeight w:val="30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hu-H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53" w:rsidRPr="00B539A1" w:rsidRDefault="00654F53" w:rsidP="00B6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54F53" w:rsidRDefault="00654F53" w:rsidP="00B63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CAE1898" wp14:editId="762BA237">
            <wp:extent cx="5553075" cy="2971800"/>
            <wp:effectExtent l="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54F53" w:rsidRDefault="00654F53" w:rsidP="00B63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1ED1F0E0" wp14:editId="2AD82B99">
            <wp:extent cx="5467350" cy="38100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4F53" w:rsidRDefault="00B63E2E" w:rsidP="00B63E2E">
      <w:pPr>
        <w:rPr>
          <w:b/>
          <w:sz w:val="28"/>
          <w:szCs w:val="28"/>
          <w:u w:val="single"/>
        </w:rPr>
      </w:pPr>
      <w:r w:rsidRPr="00746E13">
        <w:rPr>
          <w:rFonts w:ascii="Calibri" w:eastAsia="Times New Roman" w:hAnsi="Calibri" w:cs="Times New Roman"/>
          <w:noProof/>
          <w:color w:val="000000"/>
          <w:lang w:eastAsia="hu-HU"/>
        </w:rPr>
        <w:drawing>
          <wp:anchor distT="0" distB="0" distL="114300" distR="114300" simplePos="0" relativeHeight="251659264" behindDoc="0" locked="0" layoutInCell="1" allowOverlap="1" wp14:anchorId="0A4B3FFE" wp14:editId="03E2B1FF">
            <wp:simplePos x="0" y="0"/>
            <wp:positionH relativeFrom="margin">
              <wp:align>right</wp:align>
            </wp:positionH>
            <wp:positionV relativeFrom="paragraph">
              <wp:posOffset>137795</wp:posOffset>
            </wp:positionV>
            <wp:extent cx="5581650" cy="3810000"/>
            <wp:effectExtent l="0" t="0" r="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F53" w:rsidRDefault="00654F53" w:rsidP="00B63E2E">
      <w:pPr>
        <w:rPr>
          <w:b/>
          <w:sz w:val="28"/>
          <w:szCs w:val="28"/>
          <w:u w:val="single"/>
        </w:rPr>
      </w:pPr>
    </w:p>
    <w:p w:rsidR="00654F53" w:rsidRDefault="00654F53" w:rsidP="00B63E2E">
      <w:pPr>
        <w:rPr>
          <w:b/>
          <w:sz w:val="28"/>
          <w:szCs w:val="28"/>
          <w:u w:val="single"/>
        </w:rPr>
      </w:pPr>
    </w:p>
    <w:p w:rsidR="00654F53" w:rsidRDefault="00654F53" w:rsidP="00B63E2E"/>
    <w:sectPr w:rsidR="00654F53" w:rsidSect="00A30D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53"/>
    <w:rsid w:val="00601A92"/>
    <w:rsid w:val="00654F53"/>
    <w:rsid w:val="006E33DB"/>
    <w:rsid w:val="00904F58"/>
    <w:rsid w:val="00A30D0A"/>
    <w:rsid w:val="00AD665D"/>
    <w:rsid w:val="00B63E2E"/>
    <w:rsid w:val="00D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3018"/>
  <w15:chartTrackingRefBased/>
  <w15:docId w15:val="{887E3459-842E-46D8-ACAD-1356EF93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Iksz%202019-20.%201%20f&#233;l&#233;v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Iksz%202019-20.%201%20f&#233;l&#233;v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Iksz%202019-20.%201%20f&#233;l&#233;v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Össz. óra osztályonként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Munka1!$K$3</c:f>
              <c:strCache>
                <c:ptCount val="1"/>
                <c:pt idx="0">
                  <c:v>Össz. óra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Munka1!$J$4:$J$18</c:f>
              <c:strCache>
                <c:ptCount val="15"/>
                <c:pt idx="3">
                  <c:v>9.A</c:v>
                </c:pt>
                <c:pt idx="4">
                  <c:v>9.B</c:v>
                </c:pt>
                <c:pt idx="5">
                  <c:v>9.C</c:v>
                </c:pt>
                <c:pt idx="6">
                  <c:v>9.E</c:v>
                </c:pt>
                <c:pt idx="7">
                  <c:v>10.A</c:v>
                </c:pt>
                <c:pt idx="8">
                  <c:v>10.B</c:v>
                </c:pt>
                <c:pt idx="9">
                  <c:v>10.C</c:v>
                </c:pt>
                <c:pt idx="10">
                  <c:v>10.E</c:v>
                </c:pt>
                <c:pt idx="11">
                  <c:v>11.A</c:v>
                </c:pt>
                <c:pt idx="12">
                  <c:v>11.B</c:v>
                </c:pt>
                <c:pt idx="13">
                  <c:v>11.C</c:v>
                </c:pt>
                <c:pt idx="14">
                  <c:v>11.E</c:v>
                </c:pt>
              </c:strCache>
            </c:strRef>
          </c:cat>
          <c:val>
            <c:numRef>
              <c:f>Munka1!$K$4:$K$18</c:f>
              <c:numCache>
                <c:formatCode>General</c:formatCode>
                <c:ptCount val="15"/>
                <c:pt idx="3">
                  <c:v>332</c:v>
                </c:pt>
                <c:pt idx="4">
                  <c:v>527</c:v>
                </c:pt>
                <c:pt idx="5">
                  <c:v>211</c:v>
                </c:pt>
                <c:pt idx="6">
                  <c:v>497</c:v>
                </c:pt>
                <c:pt idx="7">
                  <c:v>485</c:v>
                </c:pt>
                <c:pt idx="8">
                  <c:v>560</c:v>
                </c:pt>
                <c:pt idx="9">
                  <c:v>487</c:v>
                </c:pt>
                <c:pt idx="10">
                  <c:v>234</c:v>
                </c:pt>
                <c:pt idx="11">
                  <c:v>391</c:v>
                </c:pt>
                <c:pt idx="12">
                  <c:v>36</c:v>
                </c:pt>
                <c:pt idx="13">
                  <c:v>147</c:v>
                </c:pt>
                <c:pt idx="14">
                  <c:v>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E0-44C7-8104-F38A23092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5208672"/>
        <c:axId val="335211584"/>
      </c:barChart>
      <c:catAx>
        <c:axId val="33520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5211584"/>
        <c:crosses val="autoZero"/>
        <c:auto val="1"/>
        <c:lblAlgn val="ctr"/>
        <c:lblOffset val="100"/>
        <c:noMultiLvlLbl val="0"/>
      </c:catAx>
      <c:valAx>
        <c:axId val="33521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5208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Összesítés alterületenként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Munka1!$C$3</c:f>
              <c:strCache>
                <c:ptCount val="1"/>
                <c:pt idx="0">
                  <c:v>Esélyegyenlő-ségért közösségi szolgálat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Munka1!$B$4:$B$18</c:f>
              <c:strCache>
                <c:ptCount val="15"/>
                <c:pt idx="3">
                  <c:v>9.A</c:v>
                </c:pt>
                <c:pt idx="4">
                  <c:v>9.B</c:v>
                </c:pt>
                <c:pt idx="5">
                  <c:v>9.C</c:v>
                </c:pt>
                <c:pt idx="6">
                  <c:v>9.E</c:v>
                </c:pt>
                <c:pt idx="7">
                  <c:v>10.A</c:v>
                </c:pt>
                <c:pt idx="8">
                  <c:v>10.B</c:v>
                </c:pt>
                <c:pt idx="9">
                  <c:v>10.C</c:v>
                </c:pt>
                <c:pt idx="10">
                  <c:v>10.E</c:v>
                </c:pt>
                <c:pt idx="11">
                  <c:v>11.A</c:v>
                </c:pt>
                <c:pt idx="12">
                  <c:v>11.B</c:v>
                </c:pt>
                <c:pt idx="13">
                  <c:v>11.C</c:v>
                </c:pt>
                <c:pt idx="14">
                  <c:v>11.E</c:v>
                </c:pt>
              </c:strCache>
            </c:strRef>
          </c:cat>
          <c:val>
            <c:numRef>
              <c:f>Munka1!$C$4:$C$18</c:f>
              <c:numCache>
                <c:formatCode>General</c:formatCode>
                <c:ptCount val="15"/>
                <c:pt idx="3">
                  <c:v>45</c:v>
                </c:pt>
                <c:pt idx="4">
                  <c:v>45</c:v>
                </c:pt>
                <c:pt idx="5">
                  <c:v>0</c:v>
                </c:pt>
                <c:pt idx="6">
                  <c:v>39</c:v>
                </c:pt>
                <c:pt idx="7">
                  <c:v>175</c:v>
                </c:pt>
                <c:pt idx="8">
                  <c:v>0</c:v>
                </c:pt>
                <c:pt idx="9">
                  <c:v>280</c:v>
                </c:pt>
                <c:pt idx="10">
                  <c:v>0</c:v>
                </c:pt>
                <c:pt idx="11">
                  <c:v>15</c:v>
                </c:pt>
                <c:pt idx="12">
                  <c:v>0</c:v>
                </c:pt>
                <c:pt idx="13">
                  <c:v>0</c:v>
                </c:pt>
                <c:pt idx="1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DC-4D9F-BF33-97DF733E4EB2}"/>
            </c:ext>
          </c:extLst>
        </c:ser>
        <c:ser>
          <c:idx val="1"/>
          <c:order val="1"/>
          <c:tx>
            <c:strRef>
              <c:f>Munka1!$D$3</c:f>
              <c:strCache>
                <c:ptCount val="1"/>
                <c:pt idx="0">
                  <c:v>Iskoláért (tanuló-társaimért) közösségi szolgálat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Munka1!$B$4:$B$18</c:f>
              <c:strCache>
                <c:ptCount val="15"/>
                <c:pt idx="3">
                  <c:v>9.A</c:v>
                </c:pt>
                <c:pt idx="4">
                  <c:v>9.B</c:v>
                </c:pt>
                <c:pt idx="5">
                  <c:v>9.C</c:v>
                </c:pt>
                <c:pt idx="6">
                  <c:v>9.E</c:v>
                </c:pt>
                <c:pt idx="7">
                  <c:v>10.A</c:v>
                </c:pt>
                <c:pt idx="8">
                  <c:v>10.B</c:v>
                </c:pt>
                <c:pt idx="9">
                  <c:v>10.C</c:v>
                </c:pt>
                <c:pt idx="10">
                  <c:v>10.E</c:v>
                </c:pt>
                <c:pt idx="11">
                  <c:v>11.A</c:v>
                </c:pt>
                <c:pt idx="12">
                  <c:v>11.B</c:v>
                </c:pt>
                <c:pt idx="13">
                  <c:v>11.C</c:v>
                </c:pt>
                <c:pt idx="14">
                  <c:v>11.E</c:v>
                </c:pt>
              </c:strCache>
            </c:strRef>
          </c:cat>
          <c:val>
            <c:numRef>
              <c:f>Munka1!$D$4:$D$18</c:f>
              <c:numCache>
                <c:formatCode>General</c:formatCode>
                <c:ptCount val="15"/>
                <c:pt idx="3">
                  <c:v>91</c:v>
                </c:pt>
                <c:pt idx="4">
                  <c:v>200</c:v>
                </c:pt>
                <c:pt idx="5">
                  <c:v>193</c:v>
                </c:pt>
                <c:pt idx="6">
                  <c:v>64</c:v>
                </c:pt>
                <c:pt idx="7">
                  <c:v>220</c:v>
                </c:pt>
                <c:pt idx="8">
                  <c:v>315</c:v>
                </c:pt>
                <c:pt idx="9">
                  <c:v>54</c:v>
                </c:pt>
                <c:pt idx="10">
                  <c:v>30</c:v>
                </c:pt>
                <c:pt idx="11">
                  <c:v>118</c:v>
                </c:pt>
                <c:pt idx="12">
                  <c:v>0</c:v>
                </c:pt>
                <c:pt idx="13">
                  <c:v>76</c:v>
                </c:pt>
                <c:pt idx="14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DC-4D9F-BF33-97DF733E4EB2}"/>
            </c:ext>
          </c:extLst>
        </c:ser>
        <c:ser>
          <c:idx val="2"/>
          <c:order val="2"/>
          <c:tx>
            <c:strRef>
              <c:f>Munka1!$E$3</c:f>
              <c:strCache>
                <c:ptCount val="1"/>
                <c:pt idx="0">
                  <c:v>Kulturális közösségi szolgálat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Munka1!$B$4:$B$18</c:f>
              <c:strCache>
                <c:ptCount val="15"/>
                <c:pt idx="3">
                  <c:v>9.A</c:v>
                </c:pt>
                <c:pt idx="4">
                  <c:v>9.B</c:v>
                </c:pt>
                <c:pt idx="5">
                  <c:v>9.C</c:v>
                </c:pt>
                <c:pt idx="6">
                  <c:v>9.E</c:v>
                </c:pt>
                <c:pt idx="7">
                  <c:v>10.A</c:v>
                </c:pt>
                <c:pt idx="8">
                  <c:v>10.B</c:v>
                </c:pt>
                <c:pt idx="9">
                  <c:v>10.C</c:v>
                </c:pt>
                <c:pt idx="10">
                  <c:v>10.E</c:v>
                </c:pt>
                <c:pt idx="11">
                  <c:v>11.A</c:v>
                </c:pt>
                <c:pt idx="12">
                  <c:v>11.B</c:v>
                </c:pt>
                <c:pt idx="13">
                  <c:v>11.C</c:v>
                </c:pt>
                <c:pt idx="14">
                  <c:v>11.E</c:v>
                </c:pt>
              </c:strCache>
            </c:strRef>
          </c:cat>
          <c:val>
            <c:numRef>
              <c:f>Munka1!$E$4:$E$18</c:f>
              <c:numCache>
                <c:formatCode>General</c:formatCode>
                <c:ptCount val="15"/>
                <c:pt idx="3">
                  <c:v>72</c:v>
                </c:pt>
                <c:pt idx="4">
                  <c:v>167</c:v>
                </c:pt>
                <c:pt idx="5">
                  <c:v>5</c:v>
                </c:pt>
                <c:pt idx="6">
                  <c:v>193</c:v>
                </c:pt>
                <c:pt idx="7">
                  <c:v>75</c:v>
                </c:pt>
                <c:pt idx="8">
                  <c:v>15</c:v>
                </c:pt>
                <c:pt idx="9">
                  <c:v>148</c:v>
                </c:pt>
                <c:pt idx="10">
                  <c:v>155</c:v>
                </c:pt>
                <c:pt idx="11">
                  <c:v>197</c:v>
                </c:pt>
                <c:pt idx="12">
                  <c:v>6</c:v>
                </c:pt>
                <c:pt idx="13">
                  <c:v>25</c:v>
                </c:pt>
                <c:pt idx="1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DC-4D9F-BF33-97DF733E4EB2}"/>
            </c:ext>
          </c:extLst>
        </c:ser>
        <c:ser>
          <c:idx val="3"/>
          <c:order val="3"/>
          <c:tx>
            <c:strRef>
              <c:f>Munka1!$F$3</c:f>
              <c:strCache>
                <c:ptCount val="1"/>
                <c:pt idx="0">
                  <c:v>Sport és  katasztrófa-védelem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Munka1!$B$4:$B$18</c:f>
              <c:strCache>
                <c:ptCount val="15"/>
                <c:pt idx="3">
                  <c:v>9.A</c:v>
                </c:pt>
                <c:pt idx="4">
                  <c:v>9.B</c:v>
                </c:pt>
                <c:pt idx="5">
                  <c:v>9.C</c:v>
                </c:pt>
                <c:pt idx="6">
                  <c:v>9.E</c:v>
                </c:pt>
                <c:pt idx="7">
                  <c:v>10.A</c:v>
                </c:pt>
                <c:pt idx="8">
                  <c:v>10.B</c:v>
                </c:pt>
                <c:pt idx="9">
                  <c:v>10.C</c:v>
                </c:pt>
                <c:pt idx="10">
                  <c:v>10.E</c:v>
                </c:pt>
                <c:pt idx="11">
                  <c:v>11.A</c:v>
                </c:pt>
                <c:pt idx="12">
                  <c:v>11.B</c:v>
                </c:pt>
                <c:pt idx="13">
                  <c:v>11.C</c:v>
                </c:pt>
                <c:pt idx="14">
                  <c:v>11.E</c:v>
                </c:pt>
              </c:strCache>
            </c:strRef>
          </c:cat>
          <c:val>
            <c:numRef>
              <c:f>Munka1!$F$4:$F$18</c:f>
              <c:numCache>
                <c:formatCode>General</c:formatCode>
                <c:ptCount val="15"/>
                <c:pt idx="3">
                  <c:v>115</c:v>
                </c:pt>
                <c:pt idx="4">
                  <c:v>83</c:v>
                </c:pt>
                <c:pt idx="5">
                  <c:v>0</c:v>
                </c:pt>
                <c:pt idx="6">
                  <c:v>201</c:v>
                </c:pt>
                <c:pt idx="7">
                  <c:v>0</c:v>
                </c:pt>
                <c:pt idx="8">
                  <c:v>5</c:v>
                </c:pt>
                <c:pt idx="9">
                  <c:v>0</c:v>
                </c:pt>
                <c:pt idx="10">
                  <c:v>24</c:v>
                </c:pt>
                <c:pt idx="11">
                  <c:v>0</c:v>
                </c:pt>
                <c:pt idx="12">
                  <c:v>15</c:v>
                </c:pt>
                <c:pt idx="13">
                  <c:v>40</c:v>
                </c:pt>
                <c:pt idx="1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DC-4D9F-BF33-97DF733E4EB2}"/>
            </c:ext>
          </c:extLst>
        </c:ser>
        <c:ser>
          <c:idx val="4"/>
          <c:order val="4"/>
          <c:tx>
            <c:strRef>
              <c:f>Munka1!$G$3</c:f>
              <c:strCache>
                <c:ptCount val="1"/>
                <c:pt idx="0">
                  <c:v> Egyéb: egyéni segítség-nyújtás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Munka1!$B$4:$B$18</c:f>
              <c:strCache>
                <c:ptCount val="15"/>
                <c:pt idx="3">
                  <c:v>9.A</c:v>
                </c:pt>
                <c:pt idx="4">
                  <c:v>9.B</c:v>
                </c:pt>
                <c:pt idx="5">
                  <c:v>9.C</c:v>
                </c:pt>
                <c:pt idx="6">
                  <c:v>9.E</c:v>
                </c:pt>
                <c:pt idx="7">
                  <c:v>10.A</c:v>
                </c:pt>
                <c:pt idx="8">
                  <c:v>10.B</c:v>
                </c:pt>
                <c:pt idx="9">
                  <c:v>10.C</c:v>
                </c:pt>
                <c:pt idx="10">
                  <c:v>10.E</c:v>
                </c:pt>
                <c:pt idx="11">
                  <c:v>11.A</c:v>
                </c:pt>
                <c:pt idx="12">
                  <c:v>11.B</c:v>
                </c:pt>
                <c:pt idx="13">
                  <c:v>11.C</c:v>
                </c:pt>
                <c:pt idx="14">
                  <c:v>11.E</c:v>
                </c:pt>
              </c:strCache>
            </c:strRef>
          </c:cat>
          <c:val>
            <c:numRef>
              <c:f>Munka1!$G$4:$G$18</c:f>
              <c:numCache>
                <c:formatCode>General</c:formatCode>
                <c:ptCount val="15"/>
                <c:pt idx="3">
                  <c:v>15</c:v>
                </c:pt>
                <c:pt idx="4">
                  <c:v>15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168</c:v>
                </c:pt>
                <c:pt idx="9">
                  <c:v>0</c:v>
                </c:pt>
                <c:pt idx="10">
                  <c:v>40</c:v>
                </c:pt>
                <c:pt idx="11">
                  <c:v>61</c:v>
                </c:pt>
                <c:pt idx="12">
                  <c:v>15</c:v>
                </c:pt>
                <c:pt idx="13">
                  <c:v>3</c:v>
                </c:pt>
                <c:pt idx="1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DC-4D9F-BF33-97DF733E4EB2}"/>
            </c:ext>
          </c:extLst>
        </c:ser>
        <c:ser>
          <c:idx val="5"/>
          <c:order val="5"/>
          <c:tx>
            <c:strRef>
              <c:f>Munka1!$H$3</c:f>
              <c:strCache>
                <c:ptCount val="1"/>
                <c:pt idx="0">
                  <c:v>Össz. óra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Munka1!$B$4:$B$18</c:f>
              <c:strCache>
                <c:ptCount val="15"/>
                <c:pt idx="3">
                  <c:v>9.A</c:v>
                </c:pt>
                <c:pt idx="4">
                  <c:v>9.B</c:v>
                </c:pt>
                <c:pt idx="5">
                  <c:v>9.C</c:v>
                </c:pt>
                <c:pt idx="6">
                  <c:v>9.E</c:v>
                </c:pt>
                <c:pt idx="7">
                  <c:v>10.A</c:v>
                </c:pt>
                <c:pt idx="8">
                  <c:v>10.B</c:v>
                </c:pt>
                <c:pt idx="9">
                  <c:v>10.C</c:v>
                </c:pt>
                <c:pt idx="10">
                  <c:v>10.E</c:v>
                </c:pt>
                <c:pt idx="11">
                  <c:v>11.A</c:v>
                </c:pt>
                <c:pt idx="12">
                  <c:v>11.B</c:v>
                </c:pt>
                <c:pt idx="13">
                  <c:v>11.C</c:v>
                </c:pt>
                <c:pt idx="14">
                  <c:v>11.E</c:v>
                </c:pt>
              </c:strCache>
            </c:strRef>
          </c:cat>
          <c:val>
            <c:numRef>
              <c:f>Munka1!$H$4:$H$18</c:f>
              <c:numCache>
                <c:formatCode>General</c:formatCode>
                <c:ptCount val="15"/>
                <c:pt idx="3">
                  <c:v>332</c:v>
                </c:pt>
                <c:pt idx="4">
                  <c:v>527</c:v>
                </c:pt>
                <c:pt idx="5">
                  <c:v>211</c:v>
                </c:pt>
                <c:pt idx="6">
                  <c:v>497</c:v>
                </c:pt>
                <c:pt idx="7">
                  <c:v>485</c:v>
                </c:pt>
                <c:pt idx="8">
                  <c:v>560</c:v>
                </c:pt>
                <c:pt idx="9">
                  <c:v>487</c:v>
                </c:pt>
                <c:pt idx="10">
                  <c:v>234</c:v>
                </c:pt>
                <c:pt idx="11">
                  <c:v>391</c:v>
                </c:pt>
                <c:pt idx="12">
                  <c:v>36</c:v>
                </c:pt>
                <c:pt idx="13">
                  <c:v>147</c:v>
                </c:pt>
                <c:pt idx="14">
                  <c:v>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CDC-4D9F-BF33-97DF733E4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6160288"/>
        <c:axId val="396158624"/>
      </c:barChart>
      <c:catAx>
        <c:axId val="39616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96158624"/>
        <c:crosses val="autoZero"/>
        <c:auto val="1"/>
        <c:lblAlgn val="ctr"/>
        <c:lblOffset val="100"/>
        <c:noMultiLvlLbl val="0"/>
      </c:catAx>
      <c:valAx>
        <c:axId val="39615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961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ubbleChart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xVal>
            <c:strRef>
              <c:f>Munka1!$B$3:$B$19</c:f>
              <c:strCache>
                <c:ptCount val="17"/>
                <c:pt idx="0">
                  <c:v>Osztály</c:v>
                </c:pt>
                <c:pt idx="4">
                  <c:v>9.A</c:v>
                </c:pt>
                <c:pt idx="5">
                  <c:v>9.B</c:v>
                </c:pt>
                <c:pt idx="6">
                  <c:v>9.C</c:v>
                </c:pt>
                <c:pt idx="7">
                  <c:v>9.E</c:v>
                </c:pt>
                <c:pt idx="8">
                  <c:v>10.A</c:v>
                </c:pt>
                <c:pt idx="9">
                  <c:v>10.B</c:v>
                </c:pt>
                <c:pt idx="10">
                  <c:v>10.C</c:v>
                </c:pt>
                <c:pt idx="11">
                  <c:v>10.E</c:v>
                </c:pt>
                <c:pt idx="12">
                  <c:v>11.A</c:v>
                </c:pt>
                <c:pt idx="13">
                  <c:v>11.B</c:v>
                </c:pt>
                <c:pt idx="14">
                  <c:v>11.C</c:v>
                </c:pt>
                <c:pt idx="15">
                  <c:v>11.E</c:v>
                </c:pt>
                <c:pt idx="16">
                  <c:v>össz./terület</c:v>
                </c:pt>
              </c:strCache>
            </c:strRef>
          </c:xVal>
          <c:yVal>
            <c:numRef>
              <c:f>Munka1!$C$3:$C$19</c:f>
              <c:numCache>
                <c:formatCode>General</c:formatCode>
                <c:ptCount val="17"/>
                <c:pt idx="0">
                  <c:v>0</c:v>
                </c:pt>
                <c:pt idx="4">
                  <c:v>45</c:v>
                </c:pt>
                <c:pt idx="5">
                  <c:v>45</c:v>
                </c:pt>
                <c:pt idx="6">
                  <c:v>0</c:v>
                </c:pt>
                <c:pt idx="7">
                  <c:v>39</c:v>
                </c:pt>
                <c:pt idx="8">
                  <c:v>175</c:v>
                </c:pt>
                <c:pt idx="9">
                  <c:v>0</c:v>
                </c:pt>
                <c:pt idx="10">
                  <c:v>280</c:v>
                </c:pt>
                <c:pt idx="11">
                  <c:v>0</c:v>
                </c:pt>
                <c:pt idx="12">
                  <c:v>15</c:v>
                </c:pt>
                <c:pt idx="13">
                  <c:v>0</c:v>
                </c:pt>
                <c:pt idx="14">
                  <c:v>0</c:v>
                </c:pt>
                <c:pt idx="15">
                  <c:v>30</c:v>
                </c:pt>
                <c:pt idx="16">
                  <c:v>629</c:v>
                </c:pt>
              </c:numCache>
            </c:numRef>
          </c:yVal>
          <c:bubbleSize>
            <c:numRef>
              <c:f>Munka1!$D$3:$D$19</c:f>
              <c:numCache>
                <c:formatCode>General</c:formatCode>
                <c:ptCount val="17"/>
                <c:pt idx="0">
                  <c:v>0</c:v>
                </c:pt>
                <c:pt idx="4">
                  <c:v>91</c:v>
                </c:pt>
                <c:pt idx="5">
                  <c:v>200</c:v>
                </c:pt>
                <c:pt idx="6">
                  <c:v>193</c:v>
                </c:pt>
                <c:pt idx="7">
                  <c:v>64</c:v>
                </c:pt>
                <c:pt idx="8">
                  <c:v>220</c:v>
                </c:pt>
                <c:pt idx="9">
                  <c:v>315</c:v>
                </c:pt>
                <c:pt idx="10">
                  <c:v>54</c:v>
                </c:pt>
                <c:pt idx="11">
                  <c:v>30</c:v>
                </c:pt>
                <c:pt idx="12">
                  <c:v>118</c:v>
                </c:pt>
                <c:pt idx="13">
                  <c:v>0</c:v>
                </c:pt>
                <c:pt idx="14">
                  <c:v>76</c:v>
                </c:pt>
                <c:pt idx="15">
                  <c:v>52</c:v>
                </c:pt>
                <c:pt idx="16">
                  <c:v>1413</c:v>
                </c:pt>
              </c:numCache>
            </c:numRef>
          </c:bubbleSize>
          <c:bubble3D val="1"/>
          <c:extLst>
            <c:ext xmlns:c16="http://schemas.microsoft.com/office/drawing/2014/chart" uri="{C3380CC4-5D6E-409C-BE32-E72D297353CC}">
              <c16:uniqueId val="{00000000-91AE-497D-BA43-3986B3F890AA}"/>
            </c:ext>
          </c:extLst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xVal>
            <c:strRef>
              <c:f>Munka1!$B$3:$B$19</c:f>
              <c:strCache>
                <c:ptCount val="17"/>
                <c:pt idx="0">
                  <c:v>Osztály</c:v>
                </c:pt>
                <c:pt idx="4">
                  <c:v>9.A</c:v>
                </c:pt>
                <c:pt idx="5">
                  <c:v>9.B</c:v>
                </c:pt>
                <c:pt idx="6">
                  <c:v>9.C</c:v>
                </c:pt>
                <c:pt idx="7">
                  <c:v>9.E</c:v>
                </c:pt>
                <c:pt idx="8">
                  <c:v>10.A</c:v>
                </c:pt>
                <c:pt idx="9">
                  <c:v>10.B</c:v>
                </c:pt>
                <c:pt idx="10">
                  <c:v>10.C</c:v>
                </c:pt>
                <c:pt idx="11">
                  <c:v>10.E</c:v>
                </c:pt>
                <c:pt idx="12">
                  <c:v>11.A</c:v>
                </c:pt>
                <c:pt idx="13">
                  <c:v>11.B</c:v>
                </c:pt>
                <c:pt idx="14">
                  <c:v>11.C</c:v>
                </c:pt>
                <c:pt idx="15">
                  <c:v>11.E</c:v>
                </c:pt>
                <c:pt idx="16">
                  <c:v>össz./terület</c:v>
                </c:pt>
              </c:strCache>
            </c:strRef>
          </c:xVal>
          <c:yVal>
            <c:numRef>
              <c:f>Munka1!$E$3:$E$19</c:f>
              <c:numCache>
                <c:formatCode>General</c:formatCode>
                <c:ptCount val="17"/>
                <c:pt idx="0">
                  <c:v>0</c:v>
                </c:pt>
                <c:pt idx="4">
                  <c:v>72</c:v>
                </c:pt>
                <c:pt idx="5">
                  <c:v>167</c:v>
                </c:pt>
                <c:pt idx="6">
                  <c:v>5</c:v>
                </c:pt>
                <c:pt idx="7">
                  <c:v>193</c:v>
                </c:pt>
                <c:pt idx="8">
                  <c:v>75</c:v>
                </c:pt>
                <c:pt idx="9">
                  <c:v>15</c:v>
                </c:pt>
                <c:pt idx="10">
                  <c:v>148</c:v>
                </c:pt>
                <c:pt idx="11">
                  <c:v>155</c:v>
                </c:pt>
                <c:pt idx="12">
                  <c:v>197</c:v>
                </c:pt>
                <c:pt idx="13">
                  <c:v>6</c:v>
                </c:pt>
                <c:pt idx="14">
                  <c:v>25</c:v>
                </c:pt>
                <c:pt idx="15">
                  <c:v>70</c:v>
                </c:pt>
                <c:pt idx="16">
                  <c:v>1128</c:v>
                </c:pt>
              </c:numCache>
            </c:numRef>
          </c:yVal>
          <c:bubbleSize>
            <c:numRef>
              <c:f>Munka1!$F$3:$F$19</c:f>
              <c:numCache>
                <c:formatCode>General</c:formatCode>
                <c:ptCount val="17"/>
                <c:pt idx="0">
                  <c:v>0</c:v>
                </c:pt>
                <c:pt idx="4">
                  <c:v>115</c:v>
                </c:pt>
                <c:pt idx="5">
                  <c:v>83</c:v>
                </c:pt>
                <c:pt idx="6">
                  <c:v>0</c:v>
                </c:pt>
                <c:pt idx="7">
                  <c:v>201</c:v>
                </c:pt>
                <c:pt idx="8">
                  <c:v>0</c:v>
                </c:pt>
                <c:pt idx="9">
                  <c:v>5</c:v>
                </c:pt>
                <c:pt idx="10">
                  <c:v>0</c:v>
                </c:pt>
                <c:pt idx="11">
                  <c:v>24</c:v>
                </c:pt>
                <c:pt idx="12">
                  <c:v>0</c:v>
                </c:pt>
                <c:pt idx="13">
                  <c:v>15</c:v>
                </c:pt>
                <c:pt idx="14">
                  <c:v>40</c:v>
                </c:pt>
                <c:pt idx="15">
                  <c:v>21</c:v>
                </c:pt>
                <c:pt idx="16">
                  <c:v>504</c:v>
                </c:pt>
              </c:numCache>
            </c:numRef>
          </c:bubbleSize>
          <c:bubble3D val="1"/>
          <c:extLst>
            <c:ext xmlns:c16="http://schemas.microsoft.com/office/drawing/2014/chart" uri="{C3380CC4-5D6E-409C-BE32-E72D297353CC}">
              <c16:uniqueId val="{00000001-91AE-497D-BA43-3986B3F890AA}"/>
            </c:ext>
          </c:extLst>
        </c:ser>
        <c:ser>
          <c:idx val="2"/>
          <c:order val="2"/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xVal>
            <c:strRef>
              <c:f>Munka1!$B$3:$B$19</c:f>
              <c:strCache>
                <c:ptCount val="17"/>
                <c:pt idx="0">
                  <c:v>Osztály</c:v>
                </c:pt>
                <c:pt idx="4">
                  <c:v>9.A</c:v>
                </c:pt>
                <c:pt idx="5">
                  <c:v>9.B</c:v>
                </c:pt>
                <c:pt idx="6">
                  <c:v>9.C</c:v>
                </c:pt>
                <c:pt idx="7">
                  <c:v>9.E</c:v>
                </c:pt>
                <c:pt idx="8">
                  <c:v>10.A</c:v>
                </c:pt>
                <c:pt idx="9">
                  <c:v>10.B</c:v>
                </c:pt>
                <c:pt idx="10">
                  <c:v>10.C</c:v>
                </c:pt>
                <c:pt idx="11">
                  <c:v>10.E</c:v>
                </c:pt>
                <c:pt idx="12">
                  <c:v>11.A</c:v>
                </c:pt>
                <c:pt idx="13">
                  <c:v>11.B</c:v>
                </c:pt>
                <c:pt idx="14">
                  <c:v>11.C</c:v>
                </c:pt>
                <c:pt idx="15">
                  <c:v>11.E</c:v>
                </c:pt>
                <c:pt idx="16">
                  <c:v>össz./terület</c:v>
                </c:pt>
              </c:strCache>
            </c:strRef>
          </c:xVal>
          <c:yVal>
            <c:numRef>
              <c:f>Munka1!$G$3:$G$19</c:f>
              <c:numCache>
                <c:formatCode>General</c:formatCode>
                <c:ptCount val="17"/>
                <c:pt idx="0">
                  <c:v>0</c:v>
                </c:pt>
                <c:pt idx="4">
                  <c:v>15</c:v>
                </c:pt>
                <c:pt idx="5">
                  <c:v>15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168</c:v>
                </c:pt>
                <c:pt idx="10">
                  <c:v>0</c:v>
                </c:pt>
                <c:pt idx="11">
                  <c:v>40</c:v>
                </c:pt>
                <c:pt idx="12">
                  <c:v>61</c:v>
                </c:pt>
                <c:pt idx="13">
                  <c:v>15</c:v>
                </c:pt>
                <c:pt idx="14">
                  <c:v>3</c:v>
                </c:pt>
                <c:pt idx="15">
                  <c:v>41</c:v>
                </c:pt>
                <c:pt idx="16">
                  <c:v>358</c:v>
                </c:pt>
              </c:numCache>
            </c:numRef>
          </c:yVal>
          <c:bubbleSize>
            <c:numRef>
              <c:f>Munka1!$H$3:$H$19</c:f>
              <c:numCache>
                <c:formatCode>General</c:formatCode>
                <c:ptCount val="17"/>
                <c:pt idx="0">
                  <c:v>0</c:v>
                </c:pt>
                <c:pt idx="4">
                  <c:v>332</c:v>
                </c:pt>
                <c:pt idx="5">
                  <c:v>527</c:v>
                </c:pt>
                <c:pt idx="6">
                  <c:v>211</c:v>
                </c:pt>
                <c:pt idx="7">
                  <c:v>497</c:v>
                </c:pt>
                <c:pt idx="8">
                  <c:v>485</c:v>
                </c:pt>
                <c:pt idx="9">
                  <c:v>560</c:v>
                </c:pt>
                <c:pt idx="10">
                  <c:v>487</c:v>
                </c:pt>
                <c:pt idx="11">
                  <c:v>234</c:v>
                </c:pt>
                <c:pt idx="12">
                  <c:v>391</c:v>
                </c:pt>
                <c:pt idx="13">
                  <c:v>36</c:v>
                </c:pt>
                <c:pt idx="14">
                  <c:v>147</c:v>
                </c:pt>
                <c:pt idx="15">
                  <c:v>244</c:v>
                </c:pt>
                <c:pt idx="16">
                  <c:v>4151</c:v>
                </c:pt>
              </c:numCache>
            </c:numRef>
          </c:bubbleSize>
          <c:bubble3D val="1"/>
          <c:extLst>
            <c:ext xmlns:c16="http://schemas.microsoft.com/office/drawing/2014/chart" uri="{C3380CC4-5D6E-409C-BE32-E72D297353CC}">
              <c16:uniqueId val="{00000002-91AE-497D-BA43-3986B3F890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390326080"/>
        <c:axId val="390325248"/>
      </c:bubbleChart>
      <c:valAx>
        <c:axId val="390326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90325248"/>
        <c:crosses val="autoZero"/>
        <c:crossBetween val="midCat"/>
      </c:valAx>
      <c:valAx>
        <c:axId val="39032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903260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593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Enikő</dc:creator>
  <cp:keywords/>
  <dc:description/>
  <cp:lastModifiedBy>Enikő</cp:lastModifiedBy>
  <cp:revision>3</cp:revision>
  <dcterms:created xsi:type="dcterms:W3CDTF">2020-01-20T08:54:00Z</dcterms:created>
  <dcterms:modified xsi:type="dcterms:W3CDTF">2020-01-20T08:58:00Z</dcterms:modified>
</cp:coreProperties>
</file>